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102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7939"/>
      </w:tblGrid>
      <w:tr w:rsidR="00976652" w14:paraId="731B8FA5" w14:textId="77777777" w:rsidTr="009C23FC">
        <w:tc>
          <w:tcPr>
            <w:tcW w:w="2268" w:type="dxa"/>
          </w:tcPr>
          <w:p w14:paraId="20850621" w14:textId="77777777" w:rsidR="00976652" w:rsidRDefault="00976652" w:rsidP="009C23FC">
            <w:pPr>
              <w:pStyle w:val="2"/>
            </w:pPr>
            <w:r>
              <w:rPr>
                <w:noProof/>
              </w:rPr>
              <w:drawing>
                <wp:inline distT="0" distB="0" distL="0" distR="0" wp14:anchorId="551C787D" wp14:editId="4047460D">
                  <wp:extent cx="838200" cy="838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14:paraId="2A48EB38" w14:textId="77777777" w:rsidR="00976652" w:rsidRDefault="00976652" w:rsidP="009C23FC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ЕВРАЗИЙСКИЙ ЭКОНОМИЧЕСКИЙ СОЮЗ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4A7484E8" w14:textId="77777777" w:rsidR="00976652" w:rsidRDefault="00976652" w:rsidP="009C2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ДЕКЛАРАЦИЯ О 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0362A535" w14:textId="77777777" w:rsidR="001757CC" w:rsidRPr="00E67F1D" w:rsidRDefault="00976652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Заявитель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Акционерное общество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"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Уральский комбинат питания</w:t>
      </w:r>
      <w:r w:rsidR="001757CC" w:rsidRPr="00E67F1D"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14:paraId="7A6883E5" w14:textId="77777777" w:rsidR="00976652" w:rsidRPr="00E67F1D" w:rsidRDefault="00FD7A78" w:rsidP="00E319C7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ОГРН: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>1187456000764</w:t>
      </w:r>
    </w:p>
    <w:p w14:paraId="1698D763" w14:textId="77777777" w:rsidR="00976652" w:rsidRDefault="002E1227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>Место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нахождения</w:t>
      </w:r>
      <w:r w:rsidR="00E23C49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(адрес юридического лица)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454091,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Россия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Челябинская область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город Челябинск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улица Васенко, дом 96, офис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 xml:space="preserve"> 620</w:t>
      </w:r>
      <w:r w:rsidR="001E0A57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74C8F8C" w14:textId="074E8969" w:rsidR="009C23FC" w:rsidRPr="009C23FC" w:rsidRDefault="009C23FC" w:rsidP="009C23F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C23FC">
        <w:rPr>
          <w:rFonts w:ascii="Times New Roman" w:hAnsi="Times New Roman" w:cs="Times New Roman"/>
          <w:color w:val="000000"/>
          <w:sz w:val="21"/>
          <w:szCs w:val="21"/>
        </w:rPr>
        <w:t>Адрес места осуществления деятельности:</w:t>
      </w:r>
      <w:r w:rsidR="003D153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C23FC">
        <w:rPr>
          <w:rFonts w:ascii="Times New Roman" w:hAnsi="Times New Roman" w:cs="Times New Roman"/>
          <w:color w:val="000000"/>
          <w:sz w:val="21"/>
          <w:szCs w:val="21"/>
        </w:rPr>
        <w:t>454139, Россия, Челябинская область, город Челябинск, улица Новороссийская, дом 40.</w:t>
      </w:r>
    </w:p>
    <w:p w14:paraId="6F2BBEE4" w14:textId="14746D37" w:rsidR="00976652" w:rsidRPr="00E67F1D" w:rsidRDefault="009C23FC" w:rsidP="009C23FC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C23FC">
        <w:rPr>
          <w:rFonts w:ascii="Times New Roman" w:hAnsi="Times New Roman" w:cs="Times New Roman"/>
          <w:color w:val="000000"/>
          <w:sz w:val="21"/>
          <w:szCs w:val="21"/>
        </w:rPr>
        <w:t>Номер телефона: +</w:t>
      </w:r>
      <w:r w:rsidR="003D1531" w:rsidRPr="003D1531">
        <w:rPr>
          <w:rFonts w:ascii="Times New Roman" w:hAnsi="Times New Roman" w:cs="Times New Roman"/>
          <w:color w:val="000000"/>
          <w:sz w:val="21"/>
          <w:szCs w:val="21"/>
        </w:rPr>
        <w:t>73512144443</w:t>
      </w:r>
      <w:r w:rsidRPr="009C23FC">
        <w:rPr>
          <w:rFonts w:ascii="Times New Roman" w:hAnsi="Times New Roman" w:cs="Times New Roman"/>
          <w:color w:val="000000"/>
          <w:sz w:val="21"/>
          <w:szCs w:val="21"/>
        </w:rPr>
        <w:t>. Адрес электронной почты: ksplen@mail.ru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7C472EE4" w14:textId="7278FEE0" w:rsidR="00976652" w:rsidRPr="00E67F1D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 лице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директора </w:t>
      </w:r>
      <w:r w:rsidR="004F201E" w:rsidRPr="004F201E">
        <w:rPr>
          <w:rFonts w:ascii="Times New Roman" w:hAnsi="Times New Roman" w:cs="Times New Roman"/>
          <w:color w:val="000000"/>
          <w:sz w:val="21"/>
          <w:szCs w:val="21"/>
        </w:rPr>
        <w:t>Куравин Федор Васильевич</w:t>
      </w:r>
    </w:p>
    <w:p w14:paraId="51DEE560" w14:textId="52D83A83" w:rsidR="00591C10" w:rsidRDefault="00E23C49" w:rsidP="003D15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заявляет, что</w:t>
      </w:r>
      <w:r w:rsidR="00270E22"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91C10" w:rsidRPr="00843FDB">
        <w:rPr>
          <w:rFonts w:ascii="Times New Roman" w:hAnsi="Times New Roman" w:cs="Times New Roman"/>
          <w:color w:val="000000"/>
          <w:sz w:val="20"/>
          <w:szCs w:val="20"/>
        </w:rPr>
        <w:t xml:space="preserve">Торты и пирожные: </w:t>
      </w:r>
      <w:proofErr w:type="gramStart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Кондитерское изделие «Муравейник», Кондитерское изделие заварное с молоком сгущенным, Кондитерское изделие Корзиночка с молоком сгущенным, Кондитерское изделие рубленное, Кондитерское изделие Трубочка слоеная с молоком сгущенным, Профитроли с молоком сгущенным, Профитроли с молоком сгущенным, Профитроли с белковым кремом,</w:t>
      </w:r>
      <w:r w:rsidR="00843FDB" w:rsidRPr="00843FDB">
        <w:rPr>
          <w:rFonts w:ascii="Times New Roman" w:eastAsia="Times New Roman" w:hAnsi="Times New Roman" w:cs="Times New Roman"/>
          <w:sz w:val="20"/>
          <w:szCs w:val="20"/>
        </w:rPr>
        <w:t xml:space="preserve"> Профитроли со сливками, Профитроли с начинками,</w:t>
      </w:r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 xml:space="preserve"> Пирожное сметанник с помадкой, Пирожное Трубочка с белковым кремом, Пирожное Заварное с белковым кремом, Пирожное Корзиночка с</w:t>
      </w:r>
      <w:proofErr w:type="gramEnd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 xml:space="preserve"> белковым кремом, Пирожное </w:t>
      </w:r>
      <w:proofErr w:type="gramStart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-д</w:t>
      </w:r>
      <w:proofErr w:type="gramEnd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есерт «Птичье молоко», Меренга с белковым кремом, Меренга со сгущенным молоком,</w:t>
      </w:r>
      <w:r w:rsidR="00843FDB" w:rsidRPr="00843FDB">
        <w:rPr>
          <w:rFonts w:ascii="Times New Roman" w:eastAsia="Times New Roman" w:hAnsi="Times New Roman" w:cs="Times New Roman"/>
          <w:sz w:val="20"/>
          <w:szCs w:val="20"/>
        </w:rPr>
        <w:t xml:space="preserve"> Меренга с масляным кремом,</w:t>
      </w:r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 xml:space="preserve"> Пирожное корзиночка» Суфле», Пирожное бисквитное нарезное с кремом, Пирожное </w:t>
      </w:r>
      <w:r w:rsidR="00843FDB" w:rsidRPr="00843FD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Картошка», Пирожное «Эклер»,</w:t>
      </w:r>
      <w:r w:rsidR="00843FDB" w:rsidRPr="00843FDB">
        <w:rPr>
          <w:rFonts w:ascii="Times New Roman" w:eastAsia="Times New Roman" w:hAnsi="Times New Roman" w:cs="Times New Roman"/>
          <w:sz w:val="20"/>
          <w:szCs w:val="20"/>
        </w:rPr>
        <w:t xml:space="preserve"> Пирожное «Эклер» со  сливками, Пирожное «Эклер» с начинками,</w:t>
      </w:r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 xml:space="preserve"> Безе, Рулет бисквитный с масляным кремом, Рулет бисквитный с белковым кремом, Рулет бисквитный со сливками, Рулет бисквитный с повидлом, Рулет бисквитный с курагой, Рулет бисквитный со сгущенным молоком, Торт «Французская вишня», Торт «Орешник», Торт «</w:t>
      </w:r>
      <w:proofErr w:type="gramStart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Рубленный</w:t>
      </w:r>
      <w:proofErr w:type="gramEnd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», Торт «Калач», Торт «Падишах», Торт «Капучино», Торт »Наслаждение», Торт «Трюфель», Торт «Екатерина», Торт «Золотой  улей», Торт «Птичье молоко», Торт «</w:t>
      </w:r>
      <w:proofErr w:type="spellStart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Тирамису</w:t>
      </w:r>
      <w:proofErr w:type="spellEnd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», Торт «Детский», Торт «Ягодка», Торт «Сказка», Торт «Абрикосовый», Торт «Фруктово-ягодный», Торт «Сливочно-фруктовый», Торт «С творожным кремом», Торт  «Творожно-фруктовый», Торт »Паутинка», Торт» Киевский», Торт Прага», Торт «Владимирский», Торт «</w:t>
      </w:r>
      <w:proofErr w:type="gramStart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>Песочно-бисквитный</w:t>
      </w:r>
      <w:proofErr w:type="gramEnd"/>
      <w:r w:rsidR="00591C10" w:rsidRPr="00843FDB">
        <w:rPr>
          <w:rFonts w:ascii="Times New Roman" w:eastAsia="Times New Roman" w:hAnsi="Times New Roman" w:cs="Times New Roman"/>
          <w:sz w:val="20"/>
          <w:szCs w:val="20"/>
        </w:rPr>
        <w:t xml:space="preserve"> с яблоками»</w:t>
      </w:r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 xml:space="preserve"> шоколадный, </w:t>
      </w:r>
      <w:proofErr w:type="spellStart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 xml:space="preserve"> с шоколадной крошкой, </w:t>
      </w:r>
      <w:proofErr w:type="spellStart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3C5E1D" w:rsidRPr="00843FDB">
        <w:rPr>
          <w:rFonts w:ascii="Times New Roman" w:eastAsia="Times New Roman" w:hAnsi="Times New Roman" w:cs="Times New Roman"/>
          <w:sz w:val="20"/>
          <w:szCs w:val="20"/>
        </w:rPr>
        <w:t xml:space="preserve"> с конфитюром и шоколадной глазурью</w:t>
      </w:r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 xml:space="preserve"> лимонный, </w:t>
      </w:r>
      <w:proofErr w:type="spellStart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 xml:space="preserve"> классический, </w:t>
      </w:r>
      <w:proofErr w:type="spellStart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>маффин</w:t>
      </w:r>
      <w:proofErr w:type="spellEnd"/>
      <w:r w:rsidR="00126A79" w:rsidRPr="00843FDB">
        <w:rPr>
          <w:rFonts w:ascii="Times New Roman" w:eastAsia="Times New Roman" w:hAnsi="Times New Roman" w:cs="Times New Roman"/>
          <w:sz w:val="20"/>
          <w:szCs w:val="20"/>
        </w:rPr>
        <w:t xml:space="preserve"> морковный. Кексы: Столичный, Уфимский, Шахматный, Мраморный, Чайный, Иранский, Свердловский, Манник, «День-ночь».</w:t>
      </w:r>
    </w:p>
    <w:p w14:paraId="6F127A26" w14:textId="77777777" w:rsidR="00976652" w:rsidRPr="00E67F1D" w:rsidRDefault="00976652" w:rsidP="003D1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</w:t>
      </w:r>
      <w:proofErr w:type="gramEnd"/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зготовитель </w:t>
      </w:r>
      <w:r w:rsidR="001E0A57" w:rsidRPr="001E0A57">
        <w:rPr>
          <w:rFonts w:ascii="Times New Roman" w:hAnsi="Times New Roman" w:cs="Times New Roman"/>
          <w:color w:val="000000"/>
          <w:sz w:val="21"/>
          <w:szCs w:val="21"/>
        </w:rPr>
        <w:t>Акционерное общество "Уральский комбинат питания"</w:t>
      </w:r>
    </w:p>
    <w:p w14:paraId="32E501AF" w14:textId="77777777" w:rsidR="001E0A57" w:rsidRPr="001E0A57" w:rsidRDefault="001E0A57" w:rsidP="001E0A5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E0A57">
        <w:rPr>
          <w:rFonts w:ascii="Times New Roman" w:hAnsi="Times New Roman" w:cs="Times New Roman"/>
          <w:color w:val="000000"/>
          <w:sz w:val="21"/>
          <w:szCs w:val="21"/>
        </w:rPr>
        <w:t>Место нахождения (адрес юридического лица): 454091, Россия, Челябинская область, город Челябинск, улица Васенко, дом 96, офис 620.</w:t>
      </w:r>
    </w:p>
    <w:p w14:paraId="3F30295B" w14:textId="518E8EA7" w:rsidR="00976652" w:rsidRPr="00E67F1D" w:rsidRDefault="009C23FC" w:rsidP="009C23F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C23FC">
        <w:rPr>
          <w:rFonts w:ascii="Times New Roman" w:hAnsi="Times New Roman" w:cs="Times New Roman"/>
          <w:color w:val="000000"/>
          <w:sz w:val="21"/>
          <w:szCs w:val="21"/>
        </w:rPr>
        <w:t>Адрес места осуществления деятельности по изготовлению продукции: 454139, Россия, Челябинская область, город Челябинск, улица Новороссийская, дом 40.</w:t>
      </w:r>
    </w:p>
    <w:p w14:paraId="35AF4DE5" w14:textId="77777777" w:rsidR="003920B0" w:rsidRPr="003920B0" w:rsidRDefault="00976652" w:rsidP="003920B0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продукция изготовлена в соответствии с</w:t>
      </w:r>
      <w:r w:rsidR="004C5E29" w:rsidRPr="004C5E29">
        <w:t xml:space="preserve"> </w:t>
      </w:r>
      <w:r w:rsidR="003920B0" w:rsidRPr="003920B0">
        <w:rPr>
          <w:rFonts w:ascii="Times New Roman" w:hAnsi="Times New Roman" w:cs="Times New Roman"/>
        </w:rPr>
        <w:t>ТУ 10.71.12-003- 23262518-2020 «Торты и пирожные»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938"/>
      </w:tblGrid>
      <w:tr w:rsidR="00976652" w:rsidRPr="00E67F1D" w14:paraId="6F102EF3" w14:textId="77777777" w:rsidTr="007D64B3">
        <w:tc>
          <w:tcPr>
            <w:tcW w:w="2410" w:type="dxa"/>
            <w:vAlign w:val="center"/>
          </w:tcPr>
          <w:p w14:paraId="214C08C2" w14:textId="77777777" w:rsidR="00976652" w:rsidRPr="00E67F1D" w:rsidRDefault="00976652" w:rsidP="00E319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7F1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код ТН ВЭД ЕАЭС</w:t>
            </w:r>
          </w:p>
        </w:tc>
        <w:tc>
          <w:tcPr>
            <w:tcW w:w="7938" w:type="dxa"/>
            <w:vAlign w:val="center"/>
          </w:tcPr>
          <w:p w14:paraId="7CF8C7A6" w14:textId="77777777" w:rsidR="00976652" w:rsidRPr="001E0A57" w:rsidRDefault="00CF37FC" w:rsidP="00E319C7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CF37F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1905909000</w:t>
            </w:r>
          </w:p>
        </w:tc>
      </w:tr>
    </w:tbl>
    <w:p w14:paraId="5AE62606" w14:textId="77777777" w:rsidR="00976652" w:rsidRPr="00E67F1D" w:rsidRDefault="0097665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color w:val="000000"/>
          <w:sz w:val="21"/>
          <w:szCs w:val="21"/>
        </w:rPr>
        <w:t>Серийный выпуск.</w:t>
      </w:r>
    </w:p>
    <w:p w14:paraId="4A4D96DC" w14:textId="77777777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соответствует требованиям</w:t>
      </w:r>
    </w:p>
    <w:p w14:paraId="1DA1583B" w14:textId="58F1546B" w:rsidR="00976652" w:rsidRPr="00E67F1D" w:rsidRDefault="00270E22" w:rsidP="00E319C7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E67F1D">
        <w:rPr>
          <w:rFonts w:ascii="Times New Roman" w:hAnsi="Times New Roman" w:cs="Times New Roman"/>
          <w:color w:val="000000"/>
          <w:sz w:val="21"/>
          <w:szCs w:val="21"/>
        </w:rPr>
        <w:t>ТР</w:t>
      </w:r>
      <w:proofErr w:type="gramEnd"/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 ТС 021/2011 "О безопасности пищевой продукции", ТР ТС 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>022/2011 "Пищевая проду</w:t>
      </w:r>
      <w:r w:rsidRPr="00E67F1D">
        <w:rPr>
          <w:rFonts w:ascii="Times New Roman" w:hAnsi="Times New Roman" w:cs="Times New Roman"/>
          <w:color w:val="000000"/>
          <w:sz w:val="21"/>
          <w:szCs w:val="21"/>
        </w:rPr>
        <w:t xml:space="preserve">кция в части ее маркировки", 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>ТР ТС 029/2012 "Требования безопасности пищевых добавок, ароматизаторов и технологических вспомогательных средств"</w:t>
      </w:r>
    </w:p>
    <w:p w14:paraId="51C28EE6" w14:textId="77777777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Декларация о соответствии принята на основании</w:t>
      </w:r>
    </w:p>
    <w:p w14:paraId="2FF0E1A0" w14:textId="3C0FA0D0" w:rsidR="00976652" w:rsidRPr="00E67F1D" w:rsidRDefault="00126A79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26A79">
        <w:rPr>
          <w:rFonts w:ascii="Times New Roman" w:hAnsi="Times New Roman" w:cs="Times New Roman"/>
          <w:color w:val="000000"/>
          <w:sz w:val="21"/>
          <w:szCs w:val="21"/>
          <w:lang w:bidi="ru-RU"/>
        </w:rPr>
        <w:t>Протокол лабораторных испытаний № 1/1450</w:t>
      </w:r>
      <w:r>
        <w:rPr>
          <w:rFonts w:ascii="Times New Roman" w:hAnsi="Times New Roman" w:cs="Times New Roman"/>
          <w:color w:val="000000"/>
          <w:sz w:val="21"/>
          <w:szCs w:val="21"/>
          <w:lang w:bidi="ru-RU"/>
        </w:rPr>
        <w:t>3</w:t>
      </w:r>
      <w:r w:rsidRPr="00126A79">
        <w:rPr>
          <w:rFonts w:ascii="Times New Roman" w:hAnsi="Times New Roman" w:cs="Times New Roman"/>
          <w:color w:val="000000"/>
          <w:sz w:val="21"/>
          <w:szCs w:val="21"/>
          <w:lang w:bidi="ru-RU"/>
        </w:rPr>
        <w:t>-24 от 26.06.2024 выдан Испытательным лабораторным центром Федерального бюджетного учреждения здравоохранения "Центр гигиены и эпидемиологии в Челябинской области", аттестат аккредитации № РОСС RU.0001.510597. Схема декларирования соответствия 3д</w:t>
      </w:r>
      <w:r w:rsidR="00976652" w:rsidRPr="00E67F1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70C8952" w14:textId="77777777" w:rsidR="00976652" w:rsidRPr="00E67F1D" w:rsidRDefault="00976652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Дополнительная информация </w:t>
      </w:r>
    </w:p>
    <w:p w14:paraId="46FCF298" w14:textId="4C49A0E9" w:rsidR="00976652" w:rsidRPr="00E67F1D" w:rsidRDefault="00A611A3" w:rsidP="003920B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</w:pPr>
      <w:r>
        <w:rPr>
          <w:rFonts w:ascii="Times New Roman" w:hAnsi="Times New Roman" w:cs="Times New Roman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BA3EE12" wp14:editId="70C5CB49">
            <wp:simplePos x="0" y="0"/>
            <wp:positionH relativeFrom="column">
              <wp:posOffset>2285862</wp:posOffset>
            </wp:positionH>
            <wp:positionV relativeFrom="paragraph">
              <wp:posOffset>680085</wp:posOffset>
            </wp:positionV>
            <wp:extent cx="1269146" cy="1181100"/>
            <wp:effectExtent l="139065" t="127635" r="127635" b="127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66224">
                      <a:off x="0" y="0"/>
                      <a:ext cx="1269146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2401B6A" wp14:editId="5817C1C1">
            <wp:simplePos x="0" y="0"/>
            <wp:positionH relativeFrom="column">
              <wp:posOffset>17145</wp:posOffset>
            </wp:positionH>
            <wp:positionV relativeFrom="paragraph">
              <wp:posOffset>896620</wp:posOffset>
            </wp:positionV>
            <wp:extent cx="1713230" cy="640715"/>
            <wp:effectExtent l="0" t="0" r="127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Применяемый нормативный документ </w:t>
      </w:r>
      <w:r w:rsidR="00126A79" w:rsidRP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ТУ 10.71.12-003- 23262518-2020 «Торты и пирожные»</w:t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. Код ОКПД</w:t>
      </w:r>
      <w:proofErr w:type="gramStart"/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2</w:t>
      </w:r>
      <w:proofErr w:type="gramEnd"/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:</w:t>
      </w:r>
      <w:r w:rsidR="00126A79" w:rsidRPr="00126A79">
        <w:t xml:space="preserve"> </w:t>
      </w:r>
      <w:r w:rsidR="00126A79" w:rsidRP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10.71.12.110 </w:t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–</w:t>
      </w:r>
      <w:r w:rsidR="00126A79" w:rsidRP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Торты</w:t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; 10.71.12.120</w:t>
      </w:r>
      <w:r w:rsidR="00126A79" w:rsidRP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</w:t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–</w:t>
      </w:r>
      <w:r w:rsidR="00126A79" w:rsidRP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Пирожные</w:t>
      </w:r>
      <w:r w:rsidR="00126A79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. </w:t>
      </w:r>
      <w:r w:rsidR="00AB6EEB" w:rsidRPr="00AB6EE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Срок годности и условия хранения изделий:</w:t>
      </w:r>
      <w:r w:rsid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</w:t>
      </w:r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при температуре (4±2) ºС и относительной</w:t>
      </w:r>
      <w:r w:rsid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в</w:t>
      </w:r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лажност</w:t>
      </w:r>
      <w:r w:rsid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и воздуха не более 75%: </w:t>
      </w:r>
      <w:r w:rsidR="003920B0" w:rsidRPr="00AB6EEB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5</w:t>
      </w:r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суток - с добавлением </w:t>
      </w:r>
      <w:proofErr w:type="spellStart"/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сорбиновой</w:t>
      </w:r>
      <w:proofErr w:type="spellEnd"/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кислоты </w:t>
      </w:r>
      <w:proofErr w:type="gramStart"/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в</w:t>
      </w:r>
      <w:proofErr w:type="gramEnd"/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крема;</w:t>
      </w:r>
      <w:r w:rsid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 </w:t>
      </w:r>
      <w:r w:rsidR="003920B0" w:rsidRP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36 часов – с использованием растительных кремов вместе со сливочным кремом или варе</w:t>
      </w:r>
      <w:r w:rsidR="003920B0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 xml:space="preserve">ным сгущенным молоком. </w:t>
      </w:r>
      <w:r w:rsidR="008E5982" w:rsidRPr="00E67F1D"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ru-RU"/>
        </w:rPr>
        <w:t>Продукция безопасна при ее использовании в соответствии с целевым назначением. Заявителем приняты меры по обеспечению соответствия продукции требованиям технических регламентов.</w:t>
      </w:r>
    </w:p>
    <w:p w14:paraId="70F388F5" w14:textId="17321DBA" w:rsidR="00976652" w:rsidRPr="00E67F1D" w:rsidRDefault="00976652" w:rsidP="00E67F1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Декларация о соответствии действительна </w:t>
      </w:r>
      <w:proofErr w:type="gramStart"/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с </w:t>
      </w:r>
      <w:r w:rsidR="00F36E82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даты регистрации</w:t>
      </w:r>
      <w:proofErr w:type="gramEnd"/>
      <w:r w:rsidR="00F36E82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по </w:t>
      </w:r>
      <w:r w:rsidR="00843FDB">
        <w:rPr>
          <w:rFonts w:ascii="Times New Roman" w:hAnsi="Times New Roman" w:cs="Times New Roman"/>
          <w:b/>
          <w:bCs/>
          <w:color w:val="000000"/>
          <w:sz w:val="21"/>
          <w:szCs w:val="21"/>
        </w:rPr>
        <w:t>14</w:t>
      </w: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126A79">
        <w:rPr>
          <w:rFonts w:ascii="Times New Roman" w:hAnsi="Times New Roman" w:cs="Times New Roman"/>
          <w:b/>
          <w:bCs/>
          <w:color w:val="000000"/>
          <w:sz w:val="21"/>
          <w:szCs w:val="21"/>
        </w:rPr>
        <w:t>0</w:t>
      </w:r>
      <w:r w:rsidR="00843FDB">
        <w:rPr>
          <w:rFonts w:ascii="Times New Roman" w:hAnsi="Times New Roman" w:cs="Times New Roman"/>
          <w:b/>
          <w:bCs/>
          <w:color w:val="000000"/>
          <w:sz w:val="21"/>
          <w:szCs w:val="21"/>
        </w:rPr>
        <w:t>8</w:t>
      </w:r>
      <w:r w:rsidR="00216A8C">
        <w:rPr>
          <w:rFonts w:ascii="Times New Roman" w:hAnsi="Times New Roman" w:cs="Times New Roman"/>
          <w:b/>
          <w:color w:val="000000"/>
          <w:sz w:val="21"/>
          <w:szCs w:val="21"/>
        </w:rPr>
        <w:t>.202</w:t>
      </w:r>
      <w:r w:rsidR="00126A79">
        <w:rPr>
          <w:rFonts w:ascii="Times New Roman" w:hAnsi="Times New Roman" w:cs="Times New Roman"/>
          <w:b/>
          <w:color w:val="000000"/>
          <w:sz w:val="21"/>
          <w:szCs w:val="21"/>
        </w:rPr>
        <w:t>7</w:t>
      </w: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включительно.</w:t>
      </w:r>
    </w:p>
    <w:p w14:paraId="49DA13BE" w14:textId="5D77057D" w:rsidR="00E67F1D" w:rsidRPr="00E67F1D" w:rsidRDefault="00E67F1D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4E3439DD" w14:textId="30E4EC78" w:rsidR="00976652" w:rsidRPr="00E67F1D" w:rsidRDefault="00976652" w:rsidP="00E319C7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1757CC"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1757CC" w:rsidRPr="00E67F1D"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 w:rsidR="00311723" w:rsidRPr="00E67F1D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</w:t>
      </w:r>
      <w:r w:rsidR="004F201E" w:rsidRPr="004F201E">
        <w:rPr>
          <w:rFonts w:ascii="Times New Roman" w:hAnsi="Times New Roman" w:cs="Times New Roman"/>
          <w:color w:val="000000"/>
          <w:sz w:val="21"/>
          <w:szCs w:val="21"/>
        </w:rPr>
        <w:t>Куравин Федор Васильевич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620"/>
        <w:gridCol w:w="3759"/>
        <w:gridCol w:w="3969"/>
      </w:tblGrid>
      <w:tr w:rsidR="00311723" w:rsidRPr="00E67F1D" w14:paraId="5E5F771F" w14:textId="77777777" w:rsidTr="00B6311F">
        <w:tc>
          <w:tcPr>
            <w:tcW w:w="2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9CA4F5" w14:textId="77777777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(подпись)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2465" w14:textId="77777777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8E04EB" w14:textId="77777777" w:rsidR="00311723" w:rsidRPr="00E67F1D" w:rsidRDefault="00311723" w:rsidP="00E319C7">
            <w:pPr>
              <w:keepNext/>
              <w:keepLines/>
              <w:tabs>
                <w:tab w:val="left" w:pos="477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</w:pPr>
            <w:r w:rsidRPr="00E67F1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vertAlign w:val="superscript"/>
              </w:rPr>
              <w:t>(Ф.И.О. заявителя)</w:t>
            </w:r>
          </w:p>
        </w:tc>
      </w:tr>
    </w:tbl>
    <w:p w14:paraId="0F69D29B" w14:textId="77777777" w:rsidR="00E67F1D" w:rsidRDefault="00E67F1D" w:rsidP="00E319C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69C13ED3" w14:textId="68744AA0" w:rsidR="00976652" w:rsidRPr="00CE13BA" w:rsidRDefault="00976652" w:rsidP="00CE13B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Регистрационный номер декларации о соответствии: </w:t>
      </w:r>
      <w:r w:rsidR="002F72F8" w:rsidRPr="002F72F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АЭС N RU </w:t>
      </w:r>
      <w:proofErr w:type="gramStart"/>
      <w:r w:rsidR="002F72F8" w:rsidRPr="002F72F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Д</w:t>
      </w:r>
      <w:proofErr w:type="gramEnd"/>
      <w:r w:rsidR="002F72F8" w:rsidRPr="002F72F8">
        <w:rPr>
          <w:rFonts w:ascii="Times New Roman" w:hAnsi="Times New Roman" w:cs="Times New Roman"/>
          <w:b/>
          <w:bCs/>
          <w:color w:val="000000"/>
          <w:sz w:val="21"/>
          <w:szCs w:val="21"/>
        </w:rPr>
        <w:t>-RU.РА07.В.15138/24</w:t>
      </w:r>
    </w:p>
    <w:p w14:paraId="35941F89" w14:textId="04C5DE7E" w:rsidR="0057359D" w:rsidRDefault="00976652" w:rsidP="007E267B">
      <w:pPr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Дата регистрации декларации о соответствии: </w:t>
      </w:r>
      <w:r w:rsidR="00843FDB">
        <w:rPr>
          <w:rFonts w:ascii="Times New Roman" w:hAnsi="Times New Roman" w:cs="Times New Roman"/>
          <w:b/>
          <w:bCs/>
          <w:color w:val="000000"/>
          <w:sz w:val="21"/>
          <w:szCs w:val="21"/>
        </w:rPr>
        <w:t>15</w:t>
      </w:r>
      <w:r w:rsidR="00005E1C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  <w:r w:rsidR="00126A79">
        <w:rPr>
          <w:rFonts w:ascii="Times New Roman" w:hAnsi="Times New Roman" w:cs="Times New Roman"/>
          <w:b/>
          <w:bCs/>
          <w:color w:val="000000"/>
          <w:sz w:val="21"/>
          <w:szCs w:val="21"/>
        </w:rPr>
        <w:t>0</w:t>
      </w:r>
      <w:r w:rsidR="00843FDB">
        <w:rPr>
          <w:rFonts w:ascii="Times New Roman" w:hAnsi="Times New Roman" w:cs="Times New Roman"/>
          <w:b/>
          <w:bCs/>
          <w:color w:val="000000"/>
          <w:sz w:val="21"/>
          <w:szCs w:val="21"/>
        </w:rPr>
        <w:t>8</w:t>
      </w:r>
      <w:r w:rsidR="00311723" w:rsidRPr="00E67F1D">
        <w:rPr>
          <w:rFonts w:ascii="Times New Roman" w:hAnsi="Times New Roman" w:cs="Times New Roman"/>
          <w:b/>
          <w:bCs/>
          <w:color w:val="000000"/>
          <w:sz w:val="21"/>
          <w:szCs w:val="21"/>
        </w:rPr>
        <w:t>.20</w:t>
      </w:r>
      <w:r w:rsidR="004C5E29">
        <w:rPr>
          <w:rFonts w:ascii="Times New Roman" w:hAnsi="Times New Roman" w:cs="Times New Roman"/>
          <w:b/>
          <w:bCs/>
          <w:color w:val="000000"/>
          <w:sz w:val="21"/>
          <w:szCs w:val="21"/>
        </w:rPr>
        <w:t>2</w:t>
      </w:r>
      <w:r w:rsidR="00126A79">
        <w:rPr>
          <w:rFonts w:ascii="Times New Roman" w:hAnsi="Times New Roman" w:cs="Times New Roman"/>
          <w:b/>
          <w:bCs/>
          <w:color w:val="000000"/>
          <w:sz w:val="21"/>
          <w:szCs w:val="21"/>
        </w:rPr>
        <w:t>4</w:t>
      </w:r>
      <w:bookmarkStart w:id="0" w:name="_GoBack"/>
      <w:bookmarkEnd w:id="0"/>
    </w:p>
    <w:sectPr w:rsidR="0057359D" w:rsidSect="00FD7A78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B60"/>
    <w:multiLevelType w:val="hybridMultilevel"/>
    <w:tmpl w:val="DF7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01"/>
    <w:rsid w:val="00005E1C"/>
    <w:rsid w:val="00010C1B"/>
    <w:rsid w:val="00022374"/>
    <w:rsid w:val="00057FAE"/>
    <w:rsid w:val="00066A8B"/>
    <w:rsid w:val="00071D70"/>
    <w:rsid w:val="0007437D"/>
    <w:rsid w:val="000755DD"/>
    <w:rsid w:val="00082D6C"/>
    <w:rsid w:val="00085D85"/>
    <w:rsid w:val="00087A87"/>
    <w:rsid w:val="00093220"/>
    <w:rsid w:val="000F01EF"/>
    <w:rsid w:val="00126A79"/>
    <w:rsid w:val="001370A7"/>
    <w:rsid w:val="00141B1F"/>
    <w:rsid w:val="001444B6"/>
    <w:rsid w:val="00172709"/>
    <w:rsid w:val="00173949"/>
    <w:rsid w:val="001757CC"/>
    <w:rsid w:val="0018039D"/>
    <w:rsid w:val="00183F08"/>
    <w:rsid w:val="00192606"/>
    <w:rsid w:val="00193023"/>
    <w:rsid w:val="001A1F94"/>
    <w:rsid w:val="001E0A57"/>
    <w:rsid w:val="001E7176"/>
    <w:rsid w:val="00214AE1"/>
    <w:rsid w:val="00216A8C"/>
    <w:rsid w:val="00223CE9"/>
    <w:rsid w:val="0024742B"/>
    <w:rsid w:val="00263D0F"/>
    <w:rsid w:val="00270E22"/>
    <w:rsid w:val="00274797"/>
    <w:rsid w:val="00294D85"/>
    <w:rsid w:val="002B2840"/>
    <w:rsid w:val="002B522F"/>
    <w:rsid w:val="002D7EB2"/>
    <w:rsid w:val="002E1227"/>
    <w:rsid w:val="002F72F8"/>
    <w:rsid w:val="00311723"/>
    <w:rsid w:val="00336E31"/>
    <w:rsid w:val="00363DFC"/>
    <w:rsid w:val="00370088"/>
    <w:rsid w:val="0038461B"/>
    <w:rsid w:val="003920B0"/>
    <w:rsid w:val="00392A27"/>
    <w:rsid w:val="003A56ED"/>
    <w:rsid w:val="003B05FD"/>
    <w:rsid w:val="003C5E1D"/>
    <w:rsid w:val="003C7165"/>
    <w:rsid w:val="003D1531"/>
    <w:rsid w:val="003E6F6D"/>
    <w:rsid w:val="00405DF8"/>
    <w:rsid w:val="0041477B"/>
    <w:rsid w:val="004326FB"/>
    <w:rsid w:val="00452D18"/>
    <w:rsid w:val="004615C8"/>
    <w:rsid w:val="00467C34"/>
    <w:rsid w:val="0047120C"/>
    <w:rsid w:val="00471A57"/>
    <w:rsid w:val="004A1C9D"/>
    <w:rsid w:val="004A41C4"/>
    <w:rsid w:val="004B6EE1"/>
    <w:rsid w:val="004C0C67"/>
    <w:rsid w:val="004C5E29"/>
    <w:rsid w:val="004F201E"/>
    <w:rsid w:val="00510D38"/>
    <w:rsid w:val="00552D91"/>
    <w:rsid w:val="005543E0"/>
    <w:rsid w:val="0057359D"/>
    <w:rsid w:val="00591C10"/>
    <w:rsid w:val="005D3BF9"/>
    <w:rsid w:val="005E07CB"/>
    <w:rsid w:val="005F2104"/>
    <w:rsid w:val="005F67F4"/>
    <w:rsid w:val="00630973"/>
    <w:rsid w:val="006717D8"/>
    <w:rsid w:val="00674EA2"/>
    <w:rsid w:val="006A3562"/>
    <w:rsid w:val="006B0E98"/>
    <w:rsid w:val="006B39CB"/>
    <w:rsid w:val="006C3BC5"/>
    <w:rsid w:val="006D3390"/>
    <w:rsid w:val="006F2039"/>
    <w:rsid w:val="00757A14"/>
    <w:rsid w:val="007B2D19"/>
    <w:rsid w:val="007D493F"/>
    <w:rsid w:val="007D560E"/>
    <w:rsid w:val="007D64B3"/>
    <w:rsid w:val="007E267B"/>
    <w:rsid w:val="007E7D01"/>
    <w:rsid w:val="00805442"/>
    <w:rsid w:val="00825E77"/>
    <w:rsid w:val="008347A6"/>
    <w:rsid w:val="00843FDB"/>
    <w:rsid w:val="008756F6"/>
    <w:rsid w:val="008E5982"/>
    <w:rsid w:val="00905B7C"/>
    <w:rsid w:val="0091716B"/>
    <w:rsid w:val="00922E03"/>
    <w:rsid w:val="009500C0"/>
    <w:rsid w:val="00956ECB"/>
    <w:rsid w:val="009668D2"/>
    <w:rsid w:val="00976652"/>
    <w:rsid w:val="00984B15"/>
    <w:rsid w:val="00990B57"/>
    <w:rsid w:val="00993B95"/>
    <w:rsid w:val="0099753A"/>
    <w:rsid w:val="0099781A"/>
    <w:rsid w:val="009C1F95"/>
    <w:rsid w:val="009C23FC"/>
    <w:rsid w:val="009D3564"/>
    <w:rsid w:val="009F6787"/>
    <w:rsid w:val="00A11E84"/>
    <w:rsid w:val="00A32D7B"/>
    <w:rsid w:val="00A44EB3"/>
    <w:rsid w:val="00A510BF"/>
    <w:rsid w:val="00A611A3"/>
    <w:rsid w:val="00A77B65"/>
    <w:rsid w:val="00A9380C"/>
    <w:rsid w:val="00AB2E2E"/>
    <w:rsid w:val="00AB6EEB"/>
    <w:rsid w:val="00AD3235"/>
    <w:rsid w:val="00AF5CE2"/>
    <w:rsid w:val="00AF7D89"/>
    <w:rsid w:val="00B0546E"/>
    <w:rsid w:val="00B133AD"/>
    <w:rsid w:val="00B41F83"/>
    <w:rsid w:val="00B6311F"/>
    <w:rsid w:val="00B75F81"/>
    <w:rsid w:val="00B8327E"/>
    <w:rsid w:val="00BB1A0F"/>
    <w:rsid w:val="00C07085"/>
    <w:rsid w:val="00C11225"/>
    <w:rsid w:val="00C3647D"/>
    <w:rsid w:val="00C377FF"/>
    <w:rsid w:val="00C62956"/>
    <w:rsid w:val="00C67028"/>
    <w:rsid w:val="00C92D1E"/>
    <w:rsid w:val="00C92EB6"/>
    <w:rsid w:val="00CC27EE"/>
    <w:rsid w:val="00CD353E"/>
    <w:rsid w:val="00CE13BA"/>
    <w:rsid w:val="00CF37FC"/>
    <w:rsid w:val="00D44356"/>
    <w:rsid w:val="00D547ED"/>
    <w:rsid w:val="00D87555"/>
    <w:rsid w:val="00DC2F2F"/>
    <w:rsid w:val="00E04216"/>
    <w:rsid w:val="00E04DDB"/>
    <w:rsid w:val="00E10D61"/>
    <w:rsid w:val="00E23C49"/>
    <w:rsid w:val="00E250B1"/>
    <w:rsid w:val="00E319C7"/>
    <w:rsid w:val="00E679B8"/>
    <w:rsid w:val="00E67F1D"/>
    <w:rsid w:val="00E94C5A"/>
    <w:rsid w:val="00EA3EB5"/>
    <w:rsid w:val="00EC2C40"/>
    <w:rsid w:val="00F07766"/>
    <w:rsid w:val="00F134BD"/>
    <w:rsid w:val="00F363CC"/>
    <w:rsid w:val="00F36E82"/>
    <w:rsid w:val="00F52F33"/>
    <w:rsid w:val="00F87126"/>
    <w:rsid w:val="00F9730A"/>
    <w:rsid w:val="00FC0290"/>
    <w:rsid w:val="00FD5FD1"/>
    <w:rsid w:val="00FD7A78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3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9766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0pt">
    <w:name w:val="Основной текст (2) + 11;5 pt;Курсив;Интервал 0 pt"/>
    <w:basedOn w:val="21"/>
    <w:rsid w:val="0097665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76652"/>
    <w:pPr>
      <w:widowControl w:val="0"/>
      <w:shd w:val="clear" w:color="auto" w:fill="FFFFFF"/>
      <w:spacing w:before="800" w:after="0" w:line="26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5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D7A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D7A7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62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Golubchikova</dc:creator>
  <cp:keywords/>
  <dc:description/>
  <cp:lastModifiedBy>user</cp:lastModifiedBy>
  <cp:revision>60</cp:revision>
  <cp:lastPrinted>2024-08-15T05:19:00Z</cp:lastPrinted>
  <dcterms:created xsi:type="dcterms:W3CDTF">2017-11-28T05:11:00Z</dcterms:created>
  <dcterms:modified xsi:type="dcterms:W3CDTF">2024-08-15T06:36:00Z</dcterms:modified>
</cp:coreProperties>
</file>